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3"/>
        <w:spacing w:before="140" w:after="120"/>
        <w:jc w:val="center"/>
        <w:rPr>
          <w:rFonts w:ascii="Times New Roman" w:hAnsi="Times New Roman"/>
          <w:b w:val="false"/>
          <w:i w:val="false"/>
          <w:caps w:val="false"/>
          <w:smallCaps w:val="false"/>
          <w:color w:val="333333"/>
          <w:spacing w:val="0"/>
        </w:rPr>
      </w:pPr>
      <w:r>
        <w:rPr>
          <w:rFonts w:ascii="Times New Roman" w:hAnsi="Times New Roman"/>
          <w:b w:val="false"/>
          <w:i w:val="false"/>
          <w:caps w:val="false"/>
          <w:smallCaps w:val="false"/>
          <w:color w:val="333333"/>
          <w:spacing w:val="0"/>
        </w:rPr>
        <w:t>GNU GENERAL PUBLIC LICENSE</w:t>
      </w:r>
    </w:p>
    <w:p>
      <w:pPr>
        <w:pStyle w:val="TextBody"/>
        <w:widowControl/>
        <w:pBdr/>
        <w:ind w:left="0" w:right="0" w:hanging="0"/>
        <w:jc w:val="center"/>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Version 3, 29 June 2007</w:t>
      </w:r>
    </w:p>
    <w:p>
      <w:pPr>
        <w:pStyle w:val="TextBody"/>
        <w:widowControl/>
        <w:pBdr/>
        <w:ind w:left="0" w:right="0" w:hanging="0"/>
        <w:jc w:val="left"/>
        <w:rPr/>
      </w:pPr>
      <w:r>
        <w:rPr>
          <w:rFonts w:ascii="Times New Roman" w:hAnsi="Times New Roman"/>
          <w:b w:val="false"/>
          <w:i w:val="false"/>
          <w:caps w:val="false"/>
          <w:smallCaps w:val="false"/>
          <w:color w:val="222222"/>
          <w:spacing w:val="0"/>
          <w:sz w:val="24"/>
        </w:rPr>
        <w:t>Copyright © 2007 Free Software Foundation, Inc. &lt;</w:t>
      </w:r>
      <w:hyperlink r:id="rId2">
        <w:r>
          <w:rPr>
            <w:rStyle w:val="InternetLink"/>
            <w:rFonts w:ascii="Times New Roman" w:hAnsi="Times New Roman"/>
            <w:b w:val="false"/>
            <w:i w:val="false"/>
            <w:caps w:val="false"/>
            <w:smallCaps w:val="false"/>
            <w:color w:val="100070"/>
            <w:spacing w:val="0"/>
            <w:sz w:val="24"/>
          </w:rPr>
          <w:t>https://fsf.org/</w:t>
        </w:r>
      </w:hyperlink>
      <w:r>
        <w:rPr>
          <w:rFonts w:ascii="Times New Roman" w:hAnsi="Times New Roman"/>
          <w:b w:val="false"/>
          <w:i w:val="false"/>
          <w:caps w:val="false"/>
          <w:smallCaps w:val="false"/>
          <w:color w:val="222222"/>
          <w:spacing w:val="0"/>
          <w:sz w:val="24"/>
        </w:rPr>
        <w:t>&gt;</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Everyone is permitted to copy and distribute verbatim copies of this license document, but changing it is not allowed.</w:t>
      </w:r>
    </w:p>
    <w:p>
      <w:pPr>
        <w:pStyle w:val="Heading3"/>
        <w:widowControl/>
        <w:pBdr/>
        <w:ind w:left="0" w:right="0" w:hanging="0"/>
        <w:jc w:val="left"/>
        <w:rPr>
          <w:rFonts w:ascii="Times New Roman" w:hAnsi="Times New Roman"/>
          <w:b/>
          <w:b/>
          <w:bCs/>
          <w:i w:val="false"/>
          <w:caps w:val="false"/>
          <w:smallCaps w:val="false"/>
          <w:color w:val="333333"/>
          <w:spacing w:val="0"/>
          <w:u w:val="single"/>
        </w:rPr>
      </w:pPr>
      <w:bookmarkStart w:id="0" w:name="preamble"/>
      <w:bookmarkEnd w:id="0"/>
      <w:r>
        <w:rPr>
          <w:rFonts w:ascii="Times New Roman" w:hAnsi="Times New Roman"/>
          <w:b/>
          <w:bCs/>
          <w:i w:val="false"/>
          <w:caps w:val="false"/>
          <w:smallCaps w:val="false"/>
          <w:color w:val="333333"/>
          <w:spacing w:val="0"/>
          <w:u w:val="single"/>
        </w:rPr>
        <w:t>Preamble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GNU General Public License is a free, copyleft license for software and other kinds of works.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Developers that use the GNU GPL protect your rights with two steps: (1) assert copyright on the software, and (2) offer you this License giving you legal permission to copy, distribute and/or modify it.</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precise terms and conditions for copying, distribution and modification follow.</w:t>
      </w:r>
    </w:p>
    <w:p>
      <w:pPr>
        <w:pStyle w:val="Heading3"/>
        <w:widowControl/>
        <w:pBdr/>
        <w:ind w:left="0" w:right="0" w:hanging="0"/>
        <w:jc w:val="left"/>
        <w:rPr>
          <w:rFonts w:ascii="Times New Roman" w:hAnsi="Times New Roman"/>
          <w:b/>
          <w:b/>
          <w:bCs/>
          <w:i w:val="false"/>
          <w:caps w:val="false"/>
          <w:smallCaps w:val="false"/>
          <w:color w:val="333333"/>
          <w:spacing w:val="0"/>
          <w:sz w:val="40"/>
          <w:szCs w:val="40"/>
        </w:rPr>
      </w:pPr>
      <w:bookmarkStart w:id="1" w:name="terms"/>
      <w:bookmarkEnd w:id="1"/>
      <w:r>
        <w:rPr>
          <w:rFonts w:ascii="Times New Roman" w:hAnsi="Times New Roman"/>
          <w:b/>
          <w:bCs/>
          <w:i w:val="false"/>
          <w:caps w:val="false"/>
          <w:smallCaps w:val="false"/>
          <w:color w:val="333333"/>
          <w:spacing w:val="0"/>
          <w:sz w:val="40"/>
          <w:szCs w:val="40"/>
        </w:rPr>
        <w:t>TERMS AND CONDITIONS</w:t>
      </w:r>
    </w:p>
    <w:p>
      <w:pPr>
        <w:pStyle w:val="Heading4"/>
        <w:widowControl/>
        <w:pBdr/>
        <w:ind w:left="0" w:right="0" w:hanging="0"/>
        <w:jc w:val="left"/>
        <w:rPr>
          <w:rFonts w:ascii="Times New Roman" w:hAnsi="Times New Roman"/>
          <w:b/>
          <w:b/>
          <w:bCs/>
          <w:i w:val="false"/>
          <w:caps w:val="false"/>
          <w:smallCaps w:val="false"/>
          <w:color w:val="333333"/>
          <w:spacing w:val="0"/>
          <w:sz w:val="30"/>
          <w:szCs w:val="30"/>
          <w:u w:val="none"/>
        </w:rPr>
      </w:pPr>
      <w:bookmarkStart w:id="2" w:name="section0"/>
      <w:bookmarkEnd w:id="2"/>
      <w:r>
        <w:rPr>
          <w:rFonts w:ascii="Times New Roman" w:hAnsi="Times New Roman"/>
          <w:b/>
          <w:bCs/>
          <w:i w:val="false"/>
          <w:caps w:val="false"/>
          <w:smallCaps w:val="false"/>
          <w:color w:val="333333"/>
          <w:spacing w:val="0"/>
          <w:sz w:val="30"/>
          <w:szCs w:val="30"/>
          <w:u w:val="none"/>
        </w:rPr>
        <w:t xml:space="preserve">0. </w:t>
      </w:r>
      <w:r>
        <w:rPr>
          <w:rFonts w:ascii="Times New Roman" w:hAnsi="Times New Roman"/>
          <w:b/>
          <w:bCs/>
          <w:i w:val="false"/>
          <w:caps w:val="false"/>
          <w:smallCaps w:val="false"/>
          <w:strike w:val="false"/>
          <w:dstrike w:val="false"/>
          <w:color w:val="333333"/>
          <w:spacing w:val="0"/>
          <w:sz w:val="30"/>
          <w:szCs w:val="30"/>
          <w:u w:val="none"/>
        </w:rPr>
        <w:t>Definitions</w:t>
      </w:r>
      <w:r>
        <w:rPr>
          <w:rFonts w:ascii="Times New Roman" w:hAnsi="Times New Roman"/>
          <w:b/>
          <w:bCs/>
          <w:i w:val="false"/>
          <w:caps w:val="false"/>
          <w:smallCaps w:val="false"/>
          <w:color w:val="333333"/>
          <w:spacing w:val="0"/>
          <w:sz w:val="30"/>
          <w:szCs w:val="30"/>
          <w:u w:val="none"/>
        </w:rPr>
        <w:t>.</w:t>
      </w:r>
    </w:p>
    <w:p>
      <w:pPr>
        <w:pStyle w:val="TextBody"/>
        <w:widowControl/>
        <w:pBdr/>
        <w:ind w:left="0" w:right="0" w:hanging="0"/>
        <w:jc w:val="left"/>
        <w:rPr>
          <w:caps w:val="false"/>
          <w:smallCaps w:val="false"/>
          <w:color w:val="222222"/>
          <w:spacing w:val="0"/>
        </w:rPr>
      </w:pPr>
      <w:r>
        <w:rPr>
          <w:caps w:val="false"/>
          <w:smallCaps w:val="false"/>
          <w:color w:val="222222"/>
          <w:spacing w:val="0"/>
        </w:rPr>
        <w:t>“</w:t>
      </w:r>
      <w:r>
        <w:rPr>
          <w:rFonts w:ascii="Times New Roman" w:hAnsi="Times New Roman"/>
          <w:b w:val="false"/>
          <w:i w:val="false"/>
          <w:caps w:val="false"/>
          <w:smallCaps w:val="false"/>
          <w:color w:val="222222"/>
          <w:spacing w:val="0"/>
          <w:sz w:val="24"/>
        </w:rPr>
        <w:t>This License” refers to version 3 of the GNU General Public License.</w:t>
      </w:r>
    </w:p>
    <w:p>
      <w:pPr>
        <w:pStyle w:val="TextBody"/>
        <w:widowControl/>
        <w:pBdr/>
        <w:ind w:left="0" w:right="0" w:hanging="0"/>
        <w:jc w:val="left"/>
        <w:rPr>
          <w:caps w:val="false"/>
          <w:smallCaps w:val="false"/>
          <w:color w:val="222222"/>
          <w:spacing w:val="0"/>
        </w:rPr>
      </w:pPr>
      <w:r>
        <w:rPr>
          <w:caps w:val="false"/>
          <w:smallCaps w:val="false"/>
          <w:color w:val="222222"/>
          <w:spacing w:val="0"/>
        </w:rPr>
        <w:t>“</w:t>
      </w:r>
      <w:r>
        <w:rPr>
          <w:rFonts w:ascii="Times New Roman" w:hAnsi="Times New Roman"/>
          <w:b w:val="false"/>
          <w:i w:val="false"/>
          <w:caps w:val="false"/>
          <w:smallCaps w:val="false"/>
          <w:color w:val="222222"/>
          <w:spacing w:val="0"/>
          <w:sz w:val="24"/>
        </w:rPr>
        <w:t>Copyright” also means copyright-like laws that apply to other kinds of works, such as semiconductor masks.</w:t>
      </w:r>
    </w:p>
    <w:p>
      <w:pPr>
        <w:pStyle w:val="TextBody"/>
        <w:widowControl/>
        <w:pBdr/>
        <w:ind w:left="0" w:right="0" w:hanging="0"/>
        <w:jc w:val="left"/>
        <w:rPr>
          <w:caps w:val="false"/>
          <w:smallCaps w:val="false"/>
          <w:color w:val="222222"/>
          <w:spacing w:val="0"/>
        </w:rPr>
      </w:pPr>
      <w:r>
        <w:rPr>
          <w:caps w:val="false"/>
          <w:smallCaps w:val="false"/>
          <w:color w:val="222222"/>
          <w:spacing w:val="0"/>
        </w:rPr>
        <w:t>“</w:t>
      </w:r>
      <w:r>
        <w:rPr>
          <w:rFonts w:ascii="Times New Roman" w:hAnsi="Times New Roman"/>
          <w:b w:val="false"/>
          <w:i w:val="false"/>
          <w:caps w:val="false"/>
          <w:smallCaps w:val="false"/>
          <w:color w:val="222222"/>
          <w:spacing w:val="0"/>
          <w:sz w:val="24"/>
        </w:rPr>
        <w:t>The Program” refers to any copyrightable work licensed under this License. Each licensee is addressed as “you”. “Licensees” and “recipients” may be individuals or organizations.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“covered work” means either the unmodified Program or a work based on the Program.</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To “convey” a work means any kind of propagation that enables other parties to make or receive copies. Mere interaction with a user through a computer network, with no transfer of a copy, is not conveying.</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3" w:name="section1"/>
      <w:bookmarkEnd w:id="3"/>
      <w:r>
        <w:rPr>
          <w:rFonts w:ascii="Times New Roman" w:hAnsi="Times New Roman"/>
          <w:b/>
          <w:bCs/>
          <w:i w:val="false"/>
          <w:caps w:val="false"/>
          <w:smallCaps w:val="false"/>
          <w:color w:val="333333"/>
          <w:spacing w:val="0"/>
          <w:sz w:val="30"/>
          <w:szCs w:val="30"/>
        </w:rPr>
        <w:t>1. Source Code.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“source code” for a work means the preferred form of the work for making modifications to it. “Object code” means any non-source form of a work.</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Corresponding Source need not include anything that users can regenerate automatically from other parts of the Corresponding Source.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Corresponding Source for a work in source code form is that same work.</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4" w:name="section2"/>
      <w:bookmarkEnd w:id="4"/>
      <w:r>
        <w:rPr>
          <w:rFonts w:ascii="Times New Roman" w:hAnsi="Times New Roman"/>
          <w:b/>
          <w:bCs/>
          <w:i w:val="false"/>
          <w:caps w:val="false"/>
          <w:smallCaps w:val="false"/>
          <w:color w:val="333333"/>
          <w:spacing w:val="0"/>
          <w:sz w:val="30"/>
          <w:szCs w:val="30"/>
        </w:rPr>
        <w:t>2. Basic Permissions.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Conveying under any other circumstances is permitted solely under the conditions stated below. Sublicensing is not allowed; section 10 makes it unnecessary.</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5" w:name="section3"/>
      <w:bookmarkEnd w:id="5"/>
      <w:r>
        <w:rPr>
          <w:rFonts w:ascii="Times New Roman" w:hAnsi="Times New Roman"/>
          <w:b/>
          <w:bCs/>
          <w:i w:val="false"/>
          <w:caps w:val="false"/>
          <w:smallCaps w:val="false"/>
          <w:color w:val="333333"/>
          <w:spacing w:val="0"/>
          <w:sz w:val="30"/>
          <w:szCs w:val="30"/>
        </w:rPr>
        <w:t>3. Protecting Users' Legal Rights From Anti-Circumvention Law.</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6" w:name="section4"/>
      <w:bookmarkEnd w:id="6"/>
      <w:r>
        <w:rPr>
          <w:rFonts w:ascii="Times New Roman" w:hAnsi="Times New Roman"/>
          <w:b/>
          <w:bCs/>
          <w:i w:val="false"/>
          <w:caps w:val="false"/>
          <w:smallCaps w:val="false"/>
          <w:color w:val="333333"/>
          <w:spacing w:val="0"/>
          <w:sz w:val="30"/>
          <w:szCs w:val="30"/>
        </w:rPr>
        <w:t>4. Conveying Verbatim Copies.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You may charge any price or no price for each copy that you convey, and you may offer support or warranty protection for a fee.</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7" w:name="section5"/>
      <w:bookmarkEnd w:id="7"/>
      <w:r>
        <w:rPr>
          <w:rFonts w:ascii="Times New Roman" w:hAnsi="Times New Roman"/>
          <w:b/>
          <w:bCs/>
          <w:i w:val="false"/>
          <w:caps w:val="false"/>
          <w:smallCaps w:val="false"/>
          <w:color w:val="333333"/>
          <w:spacing w:val="0"/>
          <w:sz w:val="30"/>
          <w:szCs w:val="30"/>
        </w:rPr>
        <w:t>5. Conveying Modified Source Versions.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You may convey a work based on the Program, or the modifications to produce it from the Program, in the form of source code under the terms of section 4, provided that you also meet all of these conditions:</w:t>
      </w:r>
    </w:p>
    <w:p>
      <w:pPr>
        <w:pStyle w:val="TextBody"/>
        <w:widowControl/>
        <w:numPr>
          <w:ilvl w:val="0"/>
          <w:numId w:val="1"/>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The work must carry prominent notices stating that you modified it, and giving a relevant date.</w:t>
      </w:r>
    </w:p>
    <w:p>
      <w:pPr>
        <w:pStyle w:val="TextBody"/>
        <w:widowControl/>
        <w:numPr>
          <w:ilvl w:val="0"/>
          <w:numId w:val="1"/>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b) The work must carry prominent notices stating that it is released under this License and any conditions added under section 7. This requirement modifies the requirement in section 4 to “keep intact all notices”.</w:t>
      </w:r>
    </w:p>
    <w:p>
      <w:pPr>
        <w:pStyle w:val="TextBody"/>
        <w:widowControl/>
        <w:numPr>
          <w:ilvl w:val="0"/>
          <w:numId w:val="1"/>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pStyle w:val="TextBody"/>
        <w:widowControl/>
        <w:numPr>
          <w:ilvl w:val="0"/>
          <w:numId w:val="1"/>
        </w:numPr>
        <w:pBdr/>
        <w:tabs>
          <w:tab w:val="clear" w:pos="709"/>
          <w:tab w:val="left" w:pos="240" w:leader="none"/>
        </w:tabs>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d) If the work has interactive user interfaces, each must display Appropriate Legal Notices; however, if the Program has interactive interfaces that do not display Appropriate Legal Notices, your work need not make them do so.</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8" w:name="section6"/>
      <w:bookmarkEnd w:id="8"/>
      <w:r>
        <w:rPr>
          <w:rFonts w:ascii="Times New Roman" w:hAnsi="Times New Roman"/>
          <w:b/>
          <w:bCs/>
          <w:i w:val="false"/>
          <w:caps w:val="false"/>
          <w:smallCaps w:val="false"/>
          <w:color w:val="333333"/>
          <w:spacing w:val="0"/>
          <w:sz w:val="30"/>
          <w:szCs w:val="30"/>
        </w:rPr>
        <w:t>6. Conveying Non-Source Forms.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You may convey a covered work in object code form under the terms of sections 4 and 5, provided that you also convey the machine-readable Corresponding Source under the terms of this License, in one of these ways:</w:t>
      </w:r>
    </w:p>
    <w:p>
      <w:pPr>
        <w:pStyle w:val="TextBody"/>
        <w:widowControl/>
        <w:numPr>
          <w:ilvl w:val="0"/>
          <w:numId w:val="2"/>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Convey the object code in, or embodied in, a physical product (including a physical distribution medium), accompanied by the Corresponding Source fixed on a durable physical medium customarily used for software interchange.</w:t>
      </w:r>
    </w:p>
    <w:p>
      <w:pPr>
        <w:pStyle w:val="TextBody"/>
        <w:widowControl/>
        <w:numPr>
          <w:ilvl w:val="0"/>
          <w:numId w:val="2"/>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pStyle w:val="TextBody"/>
        <w:widowControl/>
        <w:numPr>
          <w:ilvl w:val="0"/>
          <w:numId w:val="2"/>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pStyle w:val="TextBody"/>
        <w:widowControl/>
        <w:numPr>
          <w:ilvl w:val="0"/>
          <w:numId w:val="2"/>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pStyle w:val="TextBody"/>
        <w:widowControl/>
        <w:numPr>
          <w:ilvl w:val="0"/>
          <w:numId w:val="2"/>
        </w:numPr>
        <w:pBdr/>
        <w:tabs>
          <w:tab w:val="clear" w:pos="709"/>
          <w:tab w:val="left" w:pos="240" w:leader="none"/>
        </w:tabs>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e) Convey the object code using peer-to-peer transmission, provided you inform other peers where the object code and Corresponding Source of the work are being offered to the general public at no charge under subsection 6d.</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separable portion of the object code, whose source code is excluded from the Corresponding Source as a System Library, need not be included in conveying the object code work.</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Style w:val="TextBody"/>
        <w:widowControl/>
        <w:pBdr/>
        <w:ind w:left="0" w:right="0" w:hanging="0"/>
        <w:jc w:val="left"/>
        <w:rPr>
          <w:caps w:val="false"/>
          <w:smallCaps w:val="false"/>
          <w:color w:val="222222"/>
          <w:spacing w:val="0"/>
        </w:rPr>
      </w:pPr>
      <w:r>
        <w:rPr>
          <w:caps w:val="false"/>
          <w:smallCaps w:val="false"/>
          <w:color w:val="222222"/>
          <w:spacing w:val="0"/>
        </w:rPr>
        <w:t>“</w:t>
      </w:r>
      <w:r>
        <w:rPr>
          <w:rFonts w:ascii="Times New Roman" w:hAnsi="Times New Roman"/>
          <w:b w:val="false"/>
          <w:i w:val="false"/>
          <w:caps w:val="false"/>
          <w:smallCaps w:val="false"/>
          <w:color w:val="222222"/>
          <w:spacing w:val="0"/>
          <w:sz w:val="24"/>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9" w:name="section7"/>
      <w:bookmarkEnd w:id="9"/>
      <w:r>
        <w:rPr>
          <w:rFonts w:ascii="Times New Roman" w:hAnsi="Times New Roman"/>
          <w:b/>
          <w:bCs/>
          <w:i w:val="false"/>
          <w:caps w:val="false"/>
          <w:smallCaps w:val="false"/>
          <w:color w:val="333333"/>
          <w:spacing w:val="0"/>
          <w:sz w:val="30"/>
          <w:szCs w:val="30"/>
        </w:rPr>
        <w:t>7. Additional Terms.</w:t>
      </w:r>
    </w:p>
    <w:p>
      <w:pPr>
        <w:pStyle w:val="TextBody"/>
        <w:widowControl/>
        <w:pBdr/>
        <w:ind w:left="0" w:right="0" w:hanging="0"/>
        <w:jc w:val="left"/>
        <w:rPr>
          <w:caps w:val="false"/>
          <w:smallCaps w:val="false"/>
          <w:color w:val="222222"/>
          <w:spacing w:val="0"/>
        </w:rPr>
      </w:pPr>
      <w:r>
        <w:rPr>
          <w:caps w:val="false"/>
          <w:smallCaps w:val="false"/>
          <w:color w:val="222222"/>
          <w:spacing w:val="0"/>
        </w:rPr>
        <w:t>“</w:t>
      </w:r>
      <w:r>
        <w:rPr>
          <w:rFonts w:ascii="Times New Roman" w:hAnsi="Times New Roman"/>
          <w:b w:val="false"/>
          <w:i w:val="false"/>
          <w:caps w:val="false"/>
          <w:smallCaps w:val="false"/>
          <w:color w:val="222222"/>
          <w:spacing w:val="0"/>
          <w:sz w:val="24"/>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Notwithstanding any other provision of this License, for material you add to a covered work, you may (if authorized by the copyright holders of that material) supplement the terms of this License with terms:</w:t>
      </w:r>
    </w:p>
    <w:p>
      <w:pPr>
        <w:pStyle w:val="TextBody"/>
        <w:widowControl/>
        <w:numPr>
          <w:ilvl w:val="0"/>
          <w:numId w:val="3"/>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Disclaiming warranty or limiting liability differently from the terms of sections 15 and 16 of this License; or</w:t>
      </w:r>
    </w:p>
    <w:p>
      <w:pPr>
        <w:pStyle w:val="TextBody"/>
        <w:widowControl/>
        <w:numPr>
          <w:ilvl w:val="0"/>
          <w:numId w:val="3"/>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b) Requiring preservation of specified reasonable legal notices or author attributions in that material or in the Appropriate Legal Notices displayed by works containing it; or</w:t>
      </w:r>
    </w:p>
    <w:p>
      <w:pPr>
        <w:pStyle w:val="TextBody"/>
        <w:widowControl/>
        <w:numPr>
          <w:ilvl w:val="0"/>
          <w:numId w:val="3"/>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c) Prohibiting misrepresentation of the origin of that material, or requiring that modified versions of such material be marked in reasonable ways as different from the original version; or</w:t>
      </w:r>
    </w:p>
    <w:p>
      <w:pPr>
        <w:pStyle w:val="TextBody"/>
        <w:widowControl/>
        <w:numPr>
          <w:ilvl w:val="0"/>
          <w:numId w:val="3"/>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d) Limiting the use for publicity purposes of names of licensors or authors of the material; or</w:t>
      </w:r>
    </w:p>
    <w:p>
      <w:pPr>
        <w:pStyle w:val="TextBody"/>
        <w:widowControl/>
        <w:numPr>
          <w:ilvl w:val="0"/>
          <w:numId w:val="3"/>
        </w:numPr>
        <w:pBdr/>
        <w:tabs>
          <w:tab w:val="clear" w:pos="709"/>
          <w:tab w:val="left" w:pos="240" w:leader="none"/>
        </w:tabs>
        <w:spacing w:before="0" w:after="0"/>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e) Declining to grant rights under trademark law for use of some trade names, trademarks, or service marks; or</w:t>
      </w:r>
    </w:p>
    <w:p>
      <w:pPr>
        <w:pStyle w:val="TextBody"/>
        <w:widowControl/>
        <w:numPr>
          <w:ilvl w:val="0"/>
          <w:numId w:val="3"/>
        </w:numPr>
        <w:pBdr/>
        <w:tabs>
          <w:tab w:val="clear" w:pos="709"/>
          <w:tab w:val="left" w:pos="240" w:leader="none"/>
        </w:tabs>
        <w:ind w:left="240" w:right="24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If you add terms to a covered work in accord with this section, you must place, in the relevant source files, a statement of the additional terms that apply to those files, or a notice indicating where to find the applicable terms.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Additional terms, permissive or non-permissive, may be stated in the form of a separately written license, or stated as exceptions; the above requirements apply either way.</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0" w:name="section8"/>
      <w:bookmarkEnd w:id="10"/>
      <w:r>
        <w:rPr>
          <w:rFonts w:ascii="Times New Roman" w:hAnsi="Times New Roman"/>
          <w:b/>
          <w:bCs/>
          <w:i w:val="false"/>
          <w:caps w:val="false"/>
          <w:smallCaps w:val="false"/>
          <w:color w:val="333333"/>
          <w:spacing w:val="0"/>
          <w:sz w:val="30"/>
          <w:szCs w:val="30"/>
        </w:rPr>
        <w:t>8. Termination.</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1" w:name="section9"/>
      <w:bookmarkEnd w:id="11"/>
      <w:r>
        <w:rPr>
          <w:rFonts w:ascii="Times New Roman" w:hAnsi="Times New Roman"/>
          <w:b/>
          <w:bCs/>
          <w:i w:val="false"/>
          <w:caps w:val="false"/>
          <w:smallCaps w:val="false"/>
          <w:color w:val="333333"/>
          <w:spacing w:val="0"/>
          <w:sz w:val="30"/>
          <w:szCs w:val="30"/>
        </w:rPr>
        <w:t>9. Acceptance Not Required for Having Copies.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2" w:name="section10"/>
      <w:bookmarkEnd w:id="12"/>
      <w:r>
        <w:rPr>
          <w:rFonts w:ascii="Times New Roman" w:hAnsi="Times New Roman"/>
          <w:b/>
          <w:bCs/>
          <w:i w:val="false"/>
          <w:caps w:val="false"/>
          <w:smallCaps w:val="false"/>
          <w:color w:val="333333"/>
          <w:spacing w:val="0"/>
          <w:sz w:val="30"/>
          <w:szCs w:val="30"/>
        </w:rPr>
        <w:t>10. Automatic Licensing of Downstream Recipients.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3" w:name="section11"/>
      <w:bookmarkEnd w:id="13"/>
      <w:r>
        <w:rPr>
          <w:rFonts w:ascii="Times New Roman" w:hAnsi="Times New Roman"/>
          <w:b/>
          <w:bCs/>
          <w:i w:val="false"/>
          <w:caps w:val="false"/>
          <w:smallCaps w:val="false"/>
          <w:color w:val="333333"/>
          <w:spacing w:val="0"/>
          <w:sz w:val="30"/>
          <w:szCs w:val="30"/>
        </w:rPr>
        <w:t>11. Patents.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“contributor” is a copyright holder who authorizes use under this License of the Program or a work on which the Program is based. The work thus licensed is called the contributor's “contributor version”.</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Each contributor grants you a non-exclusive, worldwide, royalty-free patent license under the contributor's essential patent claims, to make, use, sell, offer for sale, import and otherwise run, modify and propagate the contents of its contributor version.</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Nothing in this License shall be construed as excluding or limiting any implied license or other defenses to infringement that may otherwise be available to you under applicable patent law.</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4" w:name="section12"/>
      <w:bookmarkEnd w:id="14"/>
      <w:r>
        <w:rPr>
          <w:rFonts w:ascii="Times New Roman" w:hAnsi="Times New Roman"/>
          <w:b/>
          <w:bCs/>
          <w:i w:val="false"/>
          <w:caps w:val="false"/>
          <w:smallCaps w:val="false"/>
          <w:color w:val="333333"/>
          <w:spacing w:val="0"/>
          <w:sz w:val="30"/>
          <w:szCs w:val="30"/>
        </w:rPr>
        <w:t>12. No Surrender of Others' Freedom.</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5" w:name="section13"/>
      <w:bookmarkEnd w:id="15"/>
      <w:r>
        <w:rPr>
          <w:rFonts w:ascii="Times New Roman" w:hAnsi="Times New Roman"/>
          <w:b/>
          <w:bCs/>
          <w:i w:val="false"/>
          <w:caps w:val="false"/>
          <w:smallCaps w:val="false"/>
          <w:color w:val="333333"/>
          <w:spacing w:val="0"/>
          <w:sz w:val="30"/>
          <w:szCs w:val="30"/>
        </w:rPr>
        <w:t>13. Use with the GNU Affero General Public License.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6" w:name="section14"/>
      <w:bookmarkEnd w:id="16"/>
      <w:r>
        <w:rPr>
          <w:rFonts w:ascii="Times New Roman" w:hAnsi="Times New Roman"/>
          <w:b/>
          <w:bCs/>
          <w:i w:val="false"/>
          <w:caps w:val="false"/>
          <w:smallCaps w:val="false"/>
          <w:color w:val="333333"/>
          <w:spacing w:val="0"/>
          <w:sz w:val="30"/>
          <w:szCs w:val="30"/>
        </w:rPr>
        <w:t>14. Revised Versions of this License.</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 Free Software Foundation may publish revised and/or new versions of the GNU General Public License from time to time. Such new versions will be similar in spirit to the present version, but may differ in detail to address new problems or concerns.</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If the Program specifies that a proxy can decide which future versions of the GNU General Public License can be used, that proxy's public statement of acceptance of a version permanently authorizes you to choose that version for the Program.</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Later license versions may give you additional or different permissions. However, no additional obligations are imposed on any author or copyright holder as a result of your choosing to follow a later version.</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7" w:name="section15"/>
      <w:bookmarkEnd w:id="17"/>
      <w:r>
        <w:rPr>
          <w:rFonts w:ascii="Times New Roman" w:hAnsi="Times New Roman"/>
          <w:b/>
          <w:bCs/>
          <w:i w:val="false"/>
          <w:caps w:val="false"/>
          <w:smallCaps w:val="false"/>
          <w:color w:val="333333"/>
          <w:spacing w:val="0"/>
          <w:sz w:val="30"/>
          <w:szCs w:val="30"/>
        </w:rPr>
        <w:t>15. Disclaimer of Warranty.</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8" w:name="section16"/>
      <w:bookmarkEnd w:id="18"/>
      <w:r>
        <w:rPr>
          <w:rFonts w:ascii="Times New Roman" w:hAnsi="Times New Roman"/>
          <w:b/>
          <w:bCs/>
          <w:i w:val="false"/>
          <w:caps w:val="false"/>
          <w:smallCaps w:val="false"/>
          <w:color w:val="333333"/>
          <w:spacing w:val="0"/>
          <w:sz w:val="30"/>
          <w:szCs w:val="30"/>
        </w:rPr>
        <w:t>16. Limitation of Liability.</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Style w:val="Heading4"/>
        <w:widowControl/>
        <w:pBdr/>
        <w:ind w:left="0" w:right="0" w:hanging="0"/>
        <w:jc w:val="left"/>
        <w:rPr>
          <w:rFonts w:ascii="Times New Roman" w:hAnsi="Times New Roman"/>
          <w:b/>
          <w:b/>
          <w:bCs/>
          <w:i w:val="false"/>
          <w:caps w:val="false"/>
          <w:smallCaps w:val="false"/>
          <w:color w:val="333333"/>
          <w:spacing w:val="0"/>
          <w:sz w:val="30"/>
          <w:szCs w:val="30"/>
        </w:rPr>
      </w:pPr>
      <w:bookmarkStart w:id="19" w:name="section17"/>
      <w:bookmarkEnd w:id="19"/>
      <w:r>
        <w:rPr>
          <w:rFonts w:ascii="Times New Roman" w:hAnsi="Times New Roman"/>
          <w:b/>
          <w:bCs/>
          <w:i w:val="false"/>
          <w:caps w:val="false"/>
          <w:smallCaps w:val="false"/>
          <w:color w:val="333333"/>
          <w:spacing w:val="0"/>
          <w:sz w:val="30"/>
          <w:szCs w:val="30"/>
        </w:rPr>
        <w:t>17. Interpretation of Sections 15 and 16.</w:t>
      </w:r>
    </w:p>
    <w:p>
      <w:pPr>
        <w:pStyle w:val="TextBody"/>
        <w:widowControl/>
        <w:pBdr/>
        <w:ind w:left="0" w:right="0" w:hanging="0"/>
        <w:jc w:val="left"/>
        <w:rPr>
          <w:rFonts w:ascii="Times New Roman" w:hAnsi="Times New Roman"/>
          <w:b w:val="false"/>
          <w:i w:val="false"/>
          <w:caps w:val="false"/>
          <w:smallCaps w:val="false"/>
          <w:color w:val="222222"/>
          <w:spacing w:val="0"/>
          <w:sz w:val="24"/>
        </w:rPr>
      </w:pPr>
      <w:r>
        <w:rPr>
          <w:rFonts w:ascii="Times New Roman" w:hAnsi="Times New Roman"/>
          <w:b w:val="false"/>
          <w:i w:val="false"/>
          <w:caps w:val="false"/>
          <w:smallCaps w:val="false"/>
          <w:color w:val="222222"/>
          <w:spacing w:val="0"/>
          <w:sz w:val="24"/>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Style w:val="TextBody"/>
        <w:widowControl/>
        <w:pBdr/>
        <w:spacing w:before="0" w:after="140"/>
        <w:ind w:left="0" w:right="0" w:hanging="0"/>
        <w:jc w:val="left"/>
        <w:rPr/>
      </w:pPr>
      <w:r>
        <w:rPr>
          <w:rFonts w:ascii="Times New Roman" w:hAnsi="Times New Roman"/>
          <w:b w:val="false"/>
          <w:i w:val="false"/>
          <w:caps w:val="false"/>
          <w:smallCaps w:val="false"/>
          <w:color w:val="222222"/>
          <w:spacing w:val="0"/>
          <w:sz w:val="24"/>
        </w:rPr>
        <w:t>END OF TERMS AND CONDITIONS</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 w:name="Times New Roman">
    <w:charset w:val="00"/>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tabs>
          <w:tab w:val="num" w:pos="240"/>
        </w:tabs>
        <w:ind w:left="240"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2">
    <w:lvl w:ilvl="0">
      <w:start w:val="1"/>
      <w:numFmt w:val="bullet"/>
      <w:suff w:val="nothing"/>
      <w:lvlText w:val=""/>
      <w:lvlJc w:val="left"/>
      <w:pPr>
        <w:tabs>
          <w:tab w:val="num" w:pos="240"/>
        </w:tabs>
        <w:ind w:left="240"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
    <w:lvl w:ilvl="0">
      <w:start w:val="1"/>
      <w:numFmt w:val="bullet"/>
      <w:suff w:val="nothing"/>
      <w:lvlText w:val=""/>
      <w:lvlJc w:val="left"/>
      <w:pPr>
        <w:tabs>
          <w:tab w:val="num" w:pos="240"/>
        </w:tabs>
        <w:ind w:left="240" w:hanging="0"/>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pStyle w:val="Heading3"/>
      <w:numFmt w:val="none"/>
      <w:suff w:val="nothing"/>
      <w:lvlText w:val=""/>
      <w:lvlJc w:val="left"/>
      <w:pPr>
        <w:ind w:left="0" w:hanging="0"/>
      </w:pPr>
    </w:lvl>
    <w:lvl w:ilvl="3">
      <w:start w:val="1"/>
      <w:pStyle w:val="Heading4"/>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n-GB" w:eastAsia="zh-CN" w:bidi="hi-IN"/>
      </w:rPr>
    </w:rPrDefault>
    <w:pPrDefault>
      <w:pPr>
        <w:widowControl/>
      </w:pPr>
    </w:pPrDefault>
  </w:docDefaults>
  <w:style w:type="paragraph" w:styleId="Normal">
    <w:name w:val="Normal"/>
    <w:qFormat/>
    <w:pPr>
      <w:widowControl/>
    </w:pPr>
    <w:rPr>
      <w:rFonts w:ascii="Liberation Serif" w:hAnsi="Liberation Serif" w:eastAsia="NSimSun" w:cs="Lucida Sans"/>
      <w:color w:val="auto"/>
      <w:kern w:val="2"/>
      <w:sz w:val="24"/>
      <w:szCs w:val="24"/>
      <w:lang w:val="en-GB" w:eastAsia="zh-CN" w:bidi="hi-IN"/>
    </w:rPr>
  </w:style>
  <w:style w:type="paragraph" w:styleId="Heading3">
    <w:name w:val="Heading 3"/>
    <w:basedOn w:val="Heading"/>
    <w:next w:val="TextBody"/>
    <w:qFormat/>
    <w:pPr>
      <w:spacing w:before="140" w:after="120"/>
      <w:outlineLvl w:val="2"/>
    </w:pPr>
    <w:rPr>
      <w:rFonts w:ascii="Liberation Serif" w:hAnsi="Liberation Serif" w:eastAsia="NSimSun" w:cs="Lucida Sans"/>
      <w:b/>
      <w:bCs/>
      <w:sz w:val="28"/>
      <w:szCs w:val="28"/>
    </w:rPr>
  </w:style>
  <w:style w:type="paragraph" w:styleId="Heading4">
    <w:name w:val="Heading 4"/>
    <w:basedOn w:val="Heading"/>
    <w:next w:val="TextBody"/>
    <w:qFormat/>
    <w:pPr>
      <w:spacing w:before="120" w:after="120"/>
      <w:outlineLvl w:val="3"/>
    </w:pPr>
    <w:rPr>
      <w:rFonts w:ascii="Liberation Serif" w:hAnsi="Liberation Serif" w:eastAsia="NSimSun" w:cs="Lucida Sans"/>
      <w:b/>
      <w:bCs/>
      <w:sz w:val="24"/>
      <w:szCs w:val="24"/>
    </w:rPr>
  </w:style>
  <w:style w:type="character" w:styleId="InternetLink">
    <w:name w:val="Internet Link"/>
    <w:rPr>
      <w:color w:val="000080"/>
      <w:u w:val="single"/>
      <w:lang w:val="zxx" w:eastAsia="zxx" w:bidi="zxx"/>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fsf.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8</TotalTime>
  <Application>LibreOffice/6.2.3.2$Windows_X86_64 LibreOffice_project/aecc05fe267cc68dde00352a451aa867b3b546ac</Application>
  <Pages>10</Pages>
  <Words>5230</Words>
  <Characters>26516</Characters>
  <CharactersWithSpaces>31619</CharactersWithSpaces>
  <Paragraphs>111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2019-07-17T16:15:22Z</dcterms:created>
  <dc:creator/>
  <dc:description>https://www.gnu.org/licenses/</dc:description>
  <cp:keywords>GNU General Public License GPLv3</cp:keywords>
  <dc:language>en-GB</dc:language>
  <cp:lastModifiedBy/>
  <dcterms:modified xsi:type="dcterms:W3CDTF">2019-07-17T16:23:30Z</dcterms:modified>
  <cp:revision>1</cp:revision>
  <dc:subject>GNU General Public License (GPLv3)</dc:subject>
  <dc:title>License</dc:title>
</cp:coreProperties>
</file>